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62"/>
        <w:ind w:left="5400" w:right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Приказом ГКУ «ОСЗН Суражского района» от 08.07.2015г. № 97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322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Комиссии по противодействию коррупции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7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государственного казенного учреждения Брянской области «Отдел</w:t>
        <w:br/>
        <w:t>социальной защиты населения Суражского района»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44" w:line="280" w:lineRule="exact"/>
        <w:ind w:left="3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1. Общие положения</w:t>
      </w:r>
      <w:bookmarkEnd w:id="1"/>
    </w:p>
    <w:p>
      <w:pPr>
        <w:pStyle w:val="Style9"/>
        <w:numPr>
          <w:ilvl w:val="0"/>
          <w:numId w:val="1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Настоящим Положением в соответствии с Федеральным законом от 25.12.2008 № 273-ФЗ «О противодействии коррупции», указом Президента Российской Федерации от 11.04.2014 № 226 «О Национальном плане противодействия коррупции на 2014-2015 годы» определяется порядок формирования и деятельности Комиссии по противодействию коррупции государственного казенного учреждения Брянской области «Отдел социальной защиты населения Суражского района» (далее - Комиссия), подведомственного департаменту семьи, социальной и демографической политики Брянской области (далее - Департамент).</w:t>
      </w:r>
    </w:p>
    <w:p>
      <w:pPr>
        <w:pStyle w:val="Style9"/>
        <w:numPr>
          <w:ilvl w:val="0"/>
          <w:numId w:val="1"/>
        </w:numPr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Комиссии по противодействию коррупции (далее - комиссия) являются постоянно действующими коллегиальными совещательными органами, образованными в целях оказания содействия государственному учреждению в реализации антикоррупционной политики,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учреждениях.</w:t>
      </w:r>
    </w:p>
    <w:p>
      <w:pPr>
        <w:pStyle w:val="Style9"/>
        <w:numPr>
          <w:ilvl w:val="0"/>
          <w:numId w:val="1"/>
        </w:numPr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Комиссия в своей деятельности руководствуется Конституцией Российской Федерации, федеральным законом </w:t>
      </w:r>
      <w:r>
        <w:rPr>
          <w:rStyle w:val="CharStyle11"/>
        </w:rPr>
        <w:t>«О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противодействии коррупции» и другими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Брянской области, а также настоящим Положением.</w:t>
      </w:r>
    </w:p>
    <w:p>
      <w:pPr>
        <w:pStyle w:val="Style9"/>
        <w:numPr>
          <w:ilvl w:val="0"/>
          <w:numId w:val="1"/>
        </w:numPr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Комиссии и ее состав утверждаются правовым актом руководителя государственного учреждения.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1.5. В настоящем Положении применяются следующие основные термины и их определения: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Коррупция - умышленное использование государственным должностным или приравненным к нему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лица,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Противодействие коррупции (борьба с коррупцией) -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Коррупционные правонарушения в деятельности государственного казенного учреждения Брянской области «Отдел социальной защиты населения Суражского района» -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3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предоставляющих такие выгоды.</w:t>
      </w:r>
    </w:p>
    <w:p>
      <w:pPr>
        <w:pStyle w:val="Style12"/>
        <w:numPr>
          <w:ilvl w:val="0"/>
          <w:numId w:val="3"/>
        </w:numPr>
        <w:tabs>
          <w:tab w:leader="none" w:pos="2411" w:val="left"/>
        </w:tabs>
        <w:widowControl w:val="0"/>
        <w:keepNext/>
        <w:keepLines/>
        <w:shd w:val="clear" w:color="auto" w:fill="auto"/>
        <w:bidi w:val="0"/>
        <w:spacing w:before="0" w:after="288" w:line="280" w:lineRule="exact"/>
        <w:ind w:left="184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Основные задачи и полномочия Комиссии</w:t>
      </w:r>
      <w:bookmarkEnd w:id="2"/>
    </w:p>
    <w:p>
      <w:pPr>
        <w:pStyle w:val="Style9"/>
        <w:numPr>
          <w:ilvl w:val="1"/>
          <w:numId w:val="3"/>
        </w:numPr>
        <w:tabs>
          <w:tab w:leader="none" w:pos="1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6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задачами Комиссии являются: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-подготовка предложений по выработке и реализации государственным учреждением антикоррупционной политики;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-разработка мероприятий по противодействию коррупции и осуществление контроля за их реализацией;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-выявление и устранение причин и условий, способствующих возникновению и распространению проявлений коррупции в деятельности государственного учреждения;</w:t>
      </w:r>
    </w:p>
    <w:p>
      <w:pPr>
        <w:pStyle w:val="Style9"/>
        <w:numPr>
          <w:ilvl w:val="0"/>
          <w:numId w:val="5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координация деятельности структурных подразделений (работников) государственного учреждения по реализации антикоррупционной политики;</w:t>
      </w:r>
    </w:p>
    <w:p>
      <w:pPr>
        <w:pStyle w:val="Style9"/>
        <w:numPr>
          <w:ilvl w:val="0"/>
          <w:numId w:val="5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единой системы информирования работников государственного учреждения по вопросам противодействия коррупции;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-информирует о выявленных Комиссией правонарушениях, создающих условия для коррупции, и коррупционных правонарушениях, иных нарушениях антикоррупционного законодательства.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-вносит предложения о привлечении к дисциплинарной, материальной (возмещение ущерба) и иной ответственности работников, нарушивших требования антикоррупционного законодательства, а также работников, бездействие которых способствовало этим нарушениям.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комиссия принимает в пределах своей компетенции решения по вопросам противодействия коррупции, а также осуществляет контроль реализации (исполнения)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52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данных решений.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5" w:line="26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2.3. Комиссия для решения возложенных на нее задач имеет право:</w:t>
      </w:r>
    </w:p>
    <w:p>
      <w:pPr>
        <w:pStyle w:val="Style9"/>
        <w:numPr>
          <w:ilvl w:val="0"/>
          <w:numId w:val="5"/>
        </w:numPr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вносить предложения на рассмотрение руководителя государственного учреждения по совершенствованию деятельности государственного учреждения в сфере противодействия коррупции;</w:t>
      </w:r>
    </w:p>
    <w:p>
      <w:pPr>
        <w:pStyle w:val="Style9"/>
        <w:numPr>
          <w:ilvl w:val="0"/>
          <w:numId w:val="5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запрашивать и получать в установленном порядке информацию от структурных подразделений государственного учреждения, государственных органов, органов местного самоуправления и организаций по вопросам, относящимся к компетенции Комиссии;</w:t>
      </w:r>
    </w:p>
    <w:p>
      <w:pPr>
        <w:pStyle w:val="Style9"/>
        <w:numPr>
          <w:ilvl w:val="0"/>
          <w:numId w:val="5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заслушивать на заседаниях Комиссии руководителей структурных подразделений, работников государственного учреждения;</w:t>
      </w:r>
    </w:p>
    <w:p>
      <w:pPr>
        <w:pStyle w:val="Style9"/>
        <w:numPr>
          <w:ilvl w:val="0"/>
          <w:numId w:val="5"/>
        </w:numPr>
        <w:tabs>
          <w:tab w:leader="none" w:pos="9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разрабатывать рекомендации для практического использования по предотвращению и профилактике коррупционных правонарушений в муниципальном учреждении;</w:t>
      </w:r>
    </w:p>
    <w:p>
      <w:pPr>
        <w:pStyle w:val="Style9"/>
        <w:numPr>
          <w:ilvl w:val="0"/>
          <w:numId w:val="5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>
      <w:pPr>
        <w:pStyle w:val="Style9"/>
        <w:numPr>
          <w:ilvl w:val="0"/>
          <w:numId w:val="5"/>
        </w:numPr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рассматривать поступившую информацию о проявлениях коррупции в муниципальном учреждении, подготавливать предложения по устранению и недопущению выявленных нарушений;</w:t>
      </w:r>
    </w:p>
    <w:p>
      <w:pPr>
        <w:pStyle w:val="Style9"/>
        <w:numPr>
          <w:ilvl w:val="0"/>
          <w:numId w:val="5"/>
        </w:numPr>
        <w:tabs>
          <w:tab w:leader="none" w:pos="9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вносить предложения о привлечении к дисциплинарной ответственности работников государственного учреждения, совершивших коррупционные правонарушения;</w:t>
      </w:r>
    </w:p>
    <w:p>
      <w:pPr>
        <w:pStyle w:val="Style9"/>
        <w:numPr>
          <w:ilvl w:val="0"/>
          <w:numId w:val="5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создавать временные рабочие группы по вопросам реализации антикоррупционной политики;</w:t>
      </w:r>
    </w:p>
    <w:p>
      <w:pPr>
        <w:pStyle w:val="Style9"/>
        <w:numPr>
          <w:ilvl w:val="0"/>
          <w:numId w:val="5"/>
        </w:numPr>
        <w:tabs>
          <w:tab w:leader="none" w:pos="9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3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>
      <w:pPr>
        <w:pStyle w:val="Style12"/>
        <w:numPr>
          <w:ilvl w:val="0"/>
          <w:numId w:val="3"/>
        </w:numPr>
        <w:tabs>
          <w:tab w:leader="none" w:pos="2726" w:val="left"/>
        </w:tabs>
        <w:widowControl w:val="0"/>
        <w:keepNext/>
        <w:keepLines/>
        <w:shd w:val="clear" w:color="auto" w:fill="auto"/>
        <w:bidi w:val="0"/>
        <w:spacing w:before="0" w:after="295" w:line="280" w:lineRule="exact"/>
        <w:ind w:left="216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Порядок формирования Комиссии</w:t>
      </w:r>
      <w:bookmarkEnd w:id="3"/>
    </w:p>
    <w:p>
      <w:pPr>
        <w:pStyle w:val="Style9"/>
        <w:numPr>
          <w:ilvl w:val="1"/>
          <w:numId w:val="3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3" w:line="32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формируется в составе председателя комиссии, его заместителя, секретаря и членов комиссии.</w:t>
      </w:r>
    </w:p>
    <w:p>
      <w:pPr>
        <w:pStyle w:val="Style9"/>
        <w:numPr>
          <w:ilvl w:val="1"/>
          <w:numId w:val="3"/>
        </w:numPr>
        <w:tabs>
          <w:tab w:leader="none" w:pos="1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 Комиссии входят:</w:t>
      </w:r>
    </w:p>
    <w:p>
      <w:pPr>
        <w:pStyle w:val="Style9"/>
        <w:numPr>
          <w:ilvl w:val="0"/>
          <w:numId w:val="5"/>
        </w:numPr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работников государственного учреждения антикоррупционного сознания, а также навыков антикоррупционного поведения;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-формирование у работников учреждения антикоррупционного сознания, нетерпимого отношения к коррупционным проявлениям, навыков антикоррупционного поведения в сферах с повышенным риском коррупции;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-контроль за реализацией выполнения антикоррупционных мероприятий в государственном учреждении;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8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-рассмотрение обращений граждан и работников учреждения о фактах </w:t>
      </w:r>
      <w:r>
        <w:rPr>
          <w:rStyle w:val="CharStyle16"/>
        </w:rPr>
        <w:t>коррупционных проявлений.</w:t>
      </w:r>
    </w:p>
    <w:p>
      <w:pPr>
        <w:pStyle w:val="Style9"/>
        <w:numPr>
          <w:ilvl w:val="0"/>
          <w:numId w:val="5"/>
        </w:numPr>
        <w:tabs>
          <w:tab w:leader="none" w:pos="9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02" w:line="31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>
      <w:pPr>
        <w:pStyle w:val="Style9"/>
        <w:numPr>
          <w:ilvl w:val="0"/>
          <w:numId w:val="7"/>
        </w:numPr>
        <w:tabs>
          <w:tab w:leader="none" w:pos="1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7" w:line="26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учреждения по противодействию коррупции: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8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-участвует в разработке плана мероприятий по противодействию коррупции в учреждении (далее - план), рассматривает проекты планов мероприятий по противодействию коррупции (борьбе с коррупцией) в учреждении;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9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-осуществляет в пределах своей компетенции контроль за выполнением плана в учреждении;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-выявляет причины коррупции, разрабатывает и направляет руководителю учреждения рекомендации по устранению причин коррупции;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9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-осуществляет анализ обращений граждан на предмет наличия в них фактов коррупции;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-анализирует поступающую информацию (содержащуюся в т.ч.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-разрабатывает рекомендации, направленные на улучшение антикоррупционной деятельности учреждения;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-рассматривает материалы проверок, проведенных в порядке внутрихозяйственного контроля, в ходе которых выявлены нарушения антикоррупционного законодательства.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-инвентаризаций;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-проверок в порядке внутрихозяйственного контроля;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-служебных проверок (служебного разбирательства);</w:t>
      </w:r>
    </w:p>
    <w:p>
      <w:pPr>
        <w:pStyle w:val="Style9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заместитель руководителя государственного учреждения, работники кадровой службы, юридического (правового) подразделения, других подразделений государственного учреждения, определяемые его руководителем: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комиссии - руководитель (директор, начальник) учреждения или заместитель директора учреждения;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4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председателя комиссии - заместитель директора или руководитель структурного подразделения учреждения;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02" w:line="31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секретарь комиссии - должностное лицо, ответственное за ведение кадровой или правовой работы;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72" w:line="26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члены комиссии: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52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работники других подразделений учреждения;</w:t>
      </w:r>
    </w:p>
    <w:p>
      <w:pPr>
        <w:pStyle w:val="Style9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6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представитель Департамента, осуществляющего функции и полномочия учредителя.</w:t>
      </w:r>
    </w:p>
    <w:p>
      <w:pPr>
        <w:pStyle w:val="Style17"/>
        <w:numPr>
          <w:ilvl w:val="1"/>
          <w:numId w:val="3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/>
      </w:pPr>
      <w:r>
        <w:rPr>
          <w:lang w:val="ru-RU" w:eastAsia="ru-RU" w:bidi="ru-RU"/>
          <w:color w:val="000000"/>
          <w:position w:val="0"/>
        </w:rPr>
        <w:t>Руководитель государственного учреждения может принять решение о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включении в состав Комиссии:</w:t>
      </w:r>
    </w:p>
    <w:p>
      <w:pPr>
        <w:pStyle w:val="Style9"/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представителей общественных объединений, научных и образовательных организаций;</w:t>
      </w:r>
    </w:p>
    <w:p>
      <w:pPr>
        <w:pStyle w:val="Style9"/>
        <w:tabs>
          <w:tab w:leader="none" w:pos="3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представителя профсоюзной организации, действующей в установленном порядке в государственном учреждении.</w:t>
      </w:r>
    </w:p>
    <w:p>
      <w:pPr>
        <w:pStyle w:val="Style9"/>
        <w:numPr>
          <w:ilvl w:val="1"/>
          <w:numId w:val="3"/>
        </w:numPr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Лица, указанные в подпункте «б» пункта 3.2 и пункте 3.3 настоящего Положения, включаются в состав Комиссии в установленном порядке по согласованию с Департаментом,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государственном учреждении, на основании запроса руководителя государственного учреждения.</w:t>
      </w:r>
    </w:p>
    <w:p>
      <w:pPr>
        <w:pStyle w:val="Style9"/>
        <w:numPr>
          <w:ilvl w:val="1"/>
          <w:numId w:val="3"/>
        </w:numPr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Style12"/>
        <w:numPr>
          <w:ilvl w:val="0"/>
          <w:numId w:val="3"/>
        </w:numPr>
        <w:tabs>
          <w:tab w:leader="none" w:pos="2706" w:val="left"/>
        </w:tabs>
        <w:widowControl w:val="0"/>
        <w:keepNext/>
        <w:keepLines/>
        <w:shd w:val="clear" w:color="auto" w:fill="auto"/>
        <w:bidi w:val="0"/>
        <w:spacing w:before="0" w:after="248" w:line="280" w:lineRule="exact"/>
        <w:ind w:left="21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деятельности Комиссии</w:t>
      </w:r>
      <w:bookmarkEnd w:id="4"/>
    </w:p>
    <w:p>
      <w:pPr>
        <w:pStyle w:val="Style9"/>
        <w:numPr>
          <w:ilvl w:val="1"/>
          <w:numId w:val="3"/>
        </w:numPr>
        <w:tabs>
          <w:tab w:leader="none" w:pos="1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Деятельность Комиссии осуществляется в соответствии с примерными планами работы на календарный год, утверждаемыми на ее заседаниях.</w:t>
      </w:r>
    </w:p>
    <w:p>
      <w:pPr>
        <w:pStyle w:val="Style9"/>
        <w:numPr>
          <w:ilvl w:val="1"/>
          <w:numId w:val="3"/>
        </w:numPr>
        <w:tabs>
          <w:tab w:leader="none" w:pos="1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>
      <w:pPr>
        <w:pStyle w:val="Style9"/>
        <w:numPr>
          <w:ilvl w:val="1"/>
          <w:numId w:val="3"/>
        </w:numPr>
        <w:tabs>
          <w:tab w:leader="none" w:pos="1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>
      <w:pPr>
        <w:pStyle w:val="Style9"/>
        <w:numPr>
          <w:ilvl w:val="1"/>
          <w:numId w:val="3"/>
        </w:numPr>
        <w:tabs>
          <w:tab w:leader="none" w:pos="1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Заседание Комиссии считается правомочным, если на нем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присутствует не менее двух третей от общего числа членов комиссии.</w:t>
      </w:r>
    </w:p>
    <w:p>
      <w:pPr>
        <w:pStyle w:val="Style9"/>
        <w:numPr>
          <w:ilvl w:val="0"/>
          <w:numId w:val="9"/>
        </w:numPr>
        <w:tabs>
          <w:tab w:leader="none" w:pos="1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решению председателя комиссии в заседаниях Комиссии с правом совещательного голоса могут участвовать другие работники государственного учреждения, представители государственных органов, органов местного самоуправления и организаций.</w:t>
      </w:r>
    </w:p>
    <w:p>
      <w:pPr>
        <w:pStyle w:val="Style9"/>
        <w:numPr>
          <w:ilvl w:val="0"/>
          <w:numId w:val="9"/>
        </w:numPr>
        <w:tabs>
          <w:tab w:leader="none" w:pos="1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3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280" w:lineRule="exact"/>
        <w:ind w:left="34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5. Процедура принятия Комиссией решений</w:t>
      </w:r>
      <w:bookmarkEnd w:id="5"/>
    </w:p>
    <w:p>
      <w:pPr>
        <w:pStyle w:val="Style9"/>
        <w:numPr>
          <w:ilvl w:val="0"/>
          <w:numId w:val="11"/>
        </w:numPr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>
      <w:pPr>
        <w:pStyle w:val="Style9"/>
        <w:numPr>
          <w:ilvl w:val="0"/>
          <w:numId w:val="11"/>
        </w:numPr>
        <w:tabs>
          <w:tab w:leader="none" w:pos="1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члены комиссии при принятии решений обладают равными правами.</w:t>
      </w:r>
    </w:p>
    <w:p>
      <w:pPr>
        <w:pStyle w:val="Style9"/>
        <w:numPr>
          <w:ilvl w:val="0"/>
          <w:numId w:val="11"/>
        </w:numPr>
        <w:tabs>
          <w:tab w:leader="none" w:pos="1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40" w:line="280" w:lineRule="exact"/>
        <w:ind w:left="34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6. Оформление решений Комиссии</w:t>
      </w:r>
      <w:bookmarkEnd w:id="6"/>
    </w:p>
    <w:p>
      <w:pPr>
        <w:pStyle w:val="Style9"/>
        <w:numPr>
          <w:ilvl w:val="0"/>
          <w:numId w:val="13"/>
        </w:numPr>
        <w:tabs>
          <w:tab w:leader="none" w:pos="1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326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>
      <w:pPr>
        <w:pStyle w:val="Style9"/>
        <w:numPr>
          <w:ilvl w:val="0"/>
          <w:numId w:val="13"/>
        </w:numPr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9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государственного учреждения.</w:t>
      </w:r>
    </w:p>
    <w:p>
      <w:pPr>
        <w:pStyle w:val="Style9"/>
        <w:numPr>
          <w:ilvl w:val="0"/>
          <w:numId w:val="13"/>
        </w:numPr>
        <w:tabs>
          <w:tab w:leader="none" w:pos="1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3" w:line="26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протоколе заседания Комиссии указываются:</w:t>
      </w:r>
    </w:p>
    <w:p>
      <w:pPr>
        <w:pStyle w:val="Style9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место и время проведения заседания Комиссии;</w:t>
      </w:r>
    </w:p>
    <w:p>
      <w:pPr>
        <w:pStyle w:val="Style9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фамилии, имена, отчества членов комиссии и других лиц, присутствующих на заседании;</w:t>
      </w:r>
    </w:p>
    <w:p>
      <w:pPr>
        <w:pStyle w:val="Style9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повестка дня заседания Комиссии, содержание рассматриваемых вопросов и материалов;</w:t>
      </w:r>
    </w:p>
    <w:p>
      <w:pPr>
        <w:pStyle w:val="Style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результаты голосования;</w:t>
      </w:r>
    </w:p>
    <w:p>
      <w:pPr>
        <w:pStyle w:val="Style9"/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д)</w:t>
        <w:tab/>
        <w:t>принятые Комиссией решения;</w:t>
      </w:r>
    </w:p>
    <w:p>
      <w:pPr>
        <w:pStyle w:val="Style9"/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е)</w:t>
        <w:tab/>
        <w:t>сведения о приобщенных к протоколу материалах.</w:t>
      </w:r>
    </w:p>
    <w:p>
      <w:pPr>
        <w:pStyle w:val="Style9"/>
        <w:numPr>
          <w:ilvl w:val="0"/>
          <w:numId w:val="13"/>
        </w:numPr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протокола в течение трех рабочих дней со дня заседания направляется руководителю государственного учреждения, а также по решению Комиссии - иным заинтересованным лицам.</w:t>
      </w:r>
    </w:p>
    <w:sectPr>
      <w:footnotePr>
        <w:pos w:val="pageBottom"/>
        <w:numFmt w:val="decimal"/>
        <w:numRestart w:val="continuous"/>
      </w:footnotePr>
      <w:pgSz w:w="11900" w:h="16840"/>
      <w:pgMar w:top="674" w:left="1497" w:right="370" w:bottom="6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Sylfaen" w:eastAsia="Sylfaen" w:hAnsi="Sylfaen" w:cs="Sylfae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5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10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character" w:customStyle="1" w:styleId="CharStyle6">
    <w:name w:val="Заголовок №1 (2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character" w:customStyle="1" w:styleId="CharStyle8">
    <w:name w:val="Основной текст (11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11">
    <w:name w:val="Основной текст (2) + Курсив"/>
    <w:basedOn w:val="CharStyle1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3">
    <w:name w:val="Заголовок №3_"/>
    <w:basedOn w:val="DefaultParagraphFont"/>
    <w:link w:val="Style12"/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6">
    <w:name w:val="Основной текст (2) + Курсив"/>
    <w:basedOn w:val="CharStyle1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8">
    <w:name w:val="Основной текст (4)_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Sylfaen" w:eastAsia="Sylfaen" w:hAnsi="Sylfaen" w:cs="Sylfaen"/>
      <w:w w:val="150"/>
      <w:spacing w:val="-10"/>
    </w:rPr>
  </w:style>
  <w:style w:type="character" w:customStyle="1" w:styleId="CharStyle19">
    <w:name w:val="Основной текст (4) + Franklin Gothic Medium,10,5 pt,Не курсив,Интервал 0 pt,Масштаб 100%"/>
    <w:basedOn w:val="CharStyle18"/>
    <w:rPr>
      <w:lang w:val="ru-RU" w:eastAsia="ru-RU" w:bidi="ru-RU"/>
      <w:b/>
      <w:bCs/>
      <w:i/>
      <w:iCs/>
      <w:sz w:val="21"/>
      <w:szCs w:val="21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20">
    <w:name w:val="Основной текст (4) + 9,5 pt,Не курсив,Интервал 0 pt,Масштаб 100%"/>
    <w:basedOn w:val="CharStyle18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Основной текст (10)"/>
    <w:basedOn w:val="Normal"/>
    <w:link w:val="CharStyle4"/>
    <w:pPr>
      <w:widowControl w:val="0"/>
      <w:shd w:val="clear" w:color="auto" w:fill="FFFFFF"/>
      <w:spacing w:line="274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paragraph" w:customStyle="1" w:styleId="Style5">
    <w:name w:val="Заголовок №1 (2)"/>
    <w:basedOn w:val="Normal"/>
    <w:link w:val="CharStyle6"/>
    <w:pPr>
      <w:widowControl w:val="0"/>
      <w:shd w:val="clear" w:color="auto" w:fill="FFFFFF"/>
      <w:jc w:val="center"/>
      <w:outlineLvl w:val="0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7">
    <w:name w:val="Основной текст (11)"/>
    <w:basedOn w:val="Normal"/>
    <w:link w:val="CharStyle8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after="24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12">
    <w:name w:val="Заголовок №3"/>
    <w:basedOn w:val="Normal"/>
    <w:link w:val="CharStyle13"/>
    <w:pPr>
      <w:widowControl w:val="0"/>
      <w:shd w:val="clear" w:color="auto" w:fill="FFFFFF"/>
      <w:jc w:val="both"/>
      <w:outlineLvl w:val="2"/>
      <w:spacing w:before="60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before="240" w:line="27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  <w:jc w:val="both"/>
      <w:spacing w:before="60" w:after="60" w:line="0" w:lineRule="exact"/>
      <w:ind w:firstLine="760"/>
    </w:pPr>
    <w:rPr>
      <w:b w:val="0"/>
      <w:bCs w:val="0"/>
      <w:i/>
      <w:iCs/>
      <w:u w:val="none"/>
      <w:strike w:val="0"/>
      <w:smallCaps w:val="0"/>
      <w:sz w:val="20"/>
      <w:szCs w:val="20"/>
      <w:rFonts w:ascii="Sylfaen" w:eastAsia="Sylfaen" w:hAnsi="Sylfaen" w:cs="Sylfaen"/>
      <w:w w:val="150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